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82" w:rsidRDefault="00031882" w:rsidP="00031882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</w:rPr>
        <w:drawing>
          <wp:inline distT="0" distB="0" distL="0" distR="0" wp14:anchorId="1DBDD424" wp14:editId="16801E6E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33" w:rsidRDefault="006C1933" w:rsidP="006C1933">
      <w:pPr>
        <w:rPr>
          <w:lang w:eastAsia="en-US"/>
        </w:rPr>
      </w:pPr>
    </w:p>
    <w:p w:rsidR="009777B4" w:rsidRPr="005D2316" w:rsidRDefault="009777B4" w:rsidP="009777B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316">
        <w:rPr>
          <w:rFonts w:ascii="Times New Roman" w:hAnsi="Times New Roman"/>
          <w:b/>
          <w:color w:val="000000" w:themeColor="text1"/>
          <w:sz w:val="28"/>
          <w:szCs w:val="28"/>
        </w:rPr>
        <w:t>Росреестр разъясняет: какие нарушения законодательства могут повлечь административную ответственность</w:t>
      </w:r>
    </w:p>
    <w:p w:rsidR="009777B4" w:rsidRPr="00031882" w:rsidRDefault="009777B4" w:rsidP="0003188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Наказать за нарушение закона может либо суд, либо полиция. Так скажут большинство граждан и будут правы. Редко кто задумается о том, какой именно суд и на каком законном основании может вынести то или иное решение. К примеру, мало кто знает, что должностные лица Росреестра вправе составлять протоколы об административных правонарушениях. О том, в каких случаях это возможно и какое наказание может за этим последовать рассказал </w:t>
      </w:r>
      <w:r w:rsidR="00031882" w:rsidRPr="00031882">
        <w:rPr>
          <w:rFonts w:ascii="Times New Roman" w:hAnsi="Times New Roman"/>
          <w:sz w:val="26"/>
          <w:szCs w:val="26"/>
        </w:rPr>
        <w:t xml:space="preserve">главный специалист-эксперт межмуниципального </w:t>
      </w:r>
      <w:r w:rsidRPr="00031882">
        <w:rPr>
          <w:rFonts w:ascii="Times New Roman" w:hAnsi="Times New Roman"/>
          <w:sz w:val="26"/>
          <w:szCs w:val="26"/>
        </w:rPr>
        <w:t xml:space="preserve">отдела </w:t>
      </w:r>
      <w:r w:rsidR="00031882" w:rsidRPr="00031882">
        <w:rPr>
          <w:rFonts w:ascii="Times New Roman" w:hAnsi="Times New Roman"/>
          <w:sz w:val="26"/>
          <w:szCs w:val="26"/>
        </w:rPr>
        <w:t xml:space="preserve">по Пуровскому и Красноселькупскому районам </w:t>
      </w:r>
      <w:r w:rsidRPr="00031882">
        <w:rPr>
          <w:rFonts w:ascii="Times New Roman" w:hAnsi="Times New Roman"/>
          <w:sz w:val="26"/>
          <w:szCs w:val="26"/>
        </w:rPr>
        <w:t xml:space="preserve">Управления Росреестра по ЯНАО </w:t>
      </w:r>
      <w:r w:rsidR="00031882" w:rsidRPr="00031882">
        <w:rPr>
          <w:rFonts w:ascii="Times New Roman" w:hAnsi="Times New Roman"/>
          <w:sz w:val="26"/>
          <w:szCs w:val="26"/>
        </w:rPr>
        <w:t>Игорь Музыка</w:t>
      </w:r>
      <w:r w:rsidRPr="00031882">
        <w:rPr>
          <w:rFonts w:ascii="Times New Roman" w:hAnsi="Times New Roman"/>
          <w:sz w:val="26"/>
          <w:szCs w:val="26"/>
        </w:rPr>
        <w:t xml:space="preserve">. </w:t>
      </w:r>
    </w:p>
    <w:p w:rsidR="009777B4" w:rsidRPr="00031882" w:rsidRDefault="009777B4" w:rsidP="0003188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>В случае нарушения законодательства в части, касающийся деятельности Росреестра, к нарушителям могут быть применены нормы кодекса об административных правонарушениях РФ (КоАП РФ). За какие нарушения в сфере деятельности ведомства может последовать наказание?</w:t>
      </w:r>
    </w:p>
    <w:p w:rsidR="009777B4" w:rsidRPr="00031882" w:rsidRDefault="009777B4" w:rsidP="00031882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>1) Самовольное занятие земельного участка -  использование земельного участка без прав</w:t>
      </w:r>
      <w:r w:rsidRPr="00031882">
        <w:rPr>
          <w:rFonts w:ascii="Times New Roman" w:hAnsi="Times New Roman"/>
          <w:color w:val="000000" w:themeColor="text1"/>
          <w:sz w:val="26"/>
          <w:szCs w:val="26"/>
        </w:rPr>
        <w:t>, предусмотренных действующим законодательством. (ст. 7.1 КоАП). К примеру, это может быть размещение на нем каких-либо сооружений, строений, возведение ограждений или препятствий, затрудняющих доступ к участку законному владельцу. Некоторые собственники увеличивают площадь земельного участка, с помощью размещения ограждения дальше юридических границ (внесенных в ЕГРН), капитальная застройка участка без оформления правоустанавливающих документов или несвоевременного их оформления.</w:t>
      </w:r>
      <w:r w:rsidRPr="000318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Все это ведет к наложению </w:t>
      </w:r>
      <w:r w:rsidRPr="00031882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административного штрафа от 5 тыс. руб. до 200 тыс. руб. в зависимости от категории нарушителя или определенного процента от кадастровой стоимости земельного участка. </w:t>
      </w:r>
    </w:p>
    <w:p w:rsidR="009777B4" w:rsidRPr="00031882" w:rsidRDefault="00031882" w:rsidP="0003188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882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9777B4" w:rsidRPr="00031882">
        <w:rPr>
          <w:rFonts w:ascii="Times New Roman" w:hAnsi="Times New Roman"/>
          <w:color w:val="000000" w:themeColor="text1"/>
          <w:sz w:val="26"/>
          <w:szCs w:val="26"/>
        </w:rPr>
        <w:t>нецелевое использование земель – использование участка не в соответствии с установленным целевым назначением и видом разрешенного использования). Так, открыть магазин на участке с видом разрешенного использования «личное подсобное хозяйство» — это нарушение. Либо, на земельном участке, предназначенном для размещения гаражей, построить многоквартирный жилой дом – это тоже нарушение.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882">
        <w:rPr>
          <w:rFonts w:ascii="Times New Roman" w:hAnsi="Times New Roman"/>
          <w:color w:val="000000" w:themeColor="text1"/>
          <w:sz w:val="26"/>
          <w:szCs w:val="26"/>
        </w:rPr>
        <w:t>Административная ответственность за нецелевое использование земельных участков установлена ч. 1 ст. 8.8 КоАП РФ: от 10 до 200 тыс. руб. в зависимости от категории нарушителя или определенного процента от кадастровой стоимости земельного участка.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Также необходимо отметить, что помимо оплаты штрафа – землепользователю необходимо будет в срок, установленный контрольно-надзорным органом, </w:t>
      </w:r>
      <w:r w:rsidRPr="00031882">
        <w:rPr>
          <w:rFonts w:ascii="Times New Roman" w:hAnsi="Times New Roman"/>
          <w:b/>
          <w:sz w:val="26"/>
          <w:szCs w:val="26"/>
        </w:rPr>
        <w:t>устранить выявленное нарушение.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Также главный специалист-эксперт </w:t>
      </w:r>
      <w:r w:rsidR="00031882" w:rsidRPr="00031882">
        <w:rPr>
          <w:rFonts w:ascii="Times New Roman" w:hAnsi="Times New Roman"/>
          <w:sz w:val="26"/>
          <w:szCs w:val="26"/>
        </w:rPr>
        <w:t xml:space="preserve">межмуниципального отдела по Пуровскому и Красноселькупскому районам Управления Росреестра по ЯНАО </w:t>
      </w:r>
      <w:r w:rsidR="00031882" w:rsidRPr="00031882">
        <w:rPr>
          <w:rFonts w:ascii="Times New Roman" w:hAnsi="Times New Roman"/>
          <w:sz w:val="26"/>
          <w:szCs w:val="26"/>
        </w:rPr>
        <w:lastRenderedPageBreak/>
        <w:t>Игорь Музыка</w:t>
      </w:r>
      <w:r w:rsidRPr="00031882">
        <w:rPr>
          <w:rFonts w:ascii="Times New Roman" w:hAnsi="Times New Roman"/>
          <w:sz w:val="26"/>
          <w:szCs w:val="26"/>
        </w:rPr>
        <w:t xml:space="preserve"> отметил, что Росреестр, осуществляет исполнение функций административного органа в отношении арбитражных управляющих. 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Должностные лица Росреестра вправе составлять протоколы об административных правонарушениях за неправомерные действия при банкротстве (14.13 КоАП РФ). Частями 3 и 3.1 указанной статьи предусмотрена </w:t>
      </w:r>
      <w:r w:rsidRPr="00031882">
        <w:rPr>
          <w:rFonts w:ascii="Times New Roman" w:hAnsi="Times New Roman"/>
          <w:b/>
          <w:sz w:val="26"/>
          <w:szCs w:val="26"/>
        </w:rPr>
        <w:t>административная ответственность за неисполнение арбитражным управляющим обязанностей, установленных законодательством о банкротстве,</w:t>
      </w:r>
      <w:r w:rsidRPr="00031882">
        <w:rPr>
          <w:rFonts w:ascii="Times New Roman" w:hAnsi="Times New Roman"/>
          <w:sz w:val="26"/>
          <w:szCs w:val="26"/>
        </w:rPr>
        <w:t xml:space="preserve"> если такое действие (бездействие) не содержит уголовно наказуемого деяния.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>В случае выявления нарушения составляется протокол об административном правонарушении, в арбитражный суд направляется заявление о привлечении арбитражного управляющего к административной ответственности, и арбитражный суд уже выносит решение об удовлетворении или об отказе в удовлетворении этого заявления.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Также КоАП РФ предусматривает штрафы за </w:t>
      </w:r>
      <w:r w:rsidRPr="00031882">
        <w:rPr>
          <w:rFonts w:ascii="Times New Roman" w:hAnsi="Times New Roman"/>
          <w:b/>
          <w:sz w:val="26"/>
          <w:szCs w:val="26"/>
        </w:rPr>
        <w:t>уничтожение, повреждение или снос пунктов государственных геодезических сетей</w:t>
      </w:r>
      <w:r w:rsidRPr="00031882">
        <w:rPr>
          <w:rFonts w:ascii="Times New Roman" w:hAnsi="Times New Roman"/>
          <w:sz w:val="26"/>
          <w:szCs w:val="26"/>
        </w:rPr>
        <w:t xml:space="preserve"> (ч. 3 ст. 7.2 КоАП РФ). Этой статьей предусмотрены следующие штрафы: от 5 до 200 тыс. руб. в зависимости от категории нарушителя 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Росреестр проводит </w:t>
      </w:r>
      <w:r w:rsidR="00942607" w:rsidRPr="00031882">
        <w:rPr>
          <w:rFonts w:ascii="Times New Roman" w:hAnsi="Times New Roman"/>
          <w:sz w:val="26"/>
          <w:szCs w:val="26"/>
        </w:rPr>
        <w:t>мониторинг за</w:t>
      </w:r>
      <w:r w:rsidRPr="00031882">
        <w:rPr>
          <w:rFonts w:ascii="Times New Roman" w:hAnsi="Times New Roman"/>
          <w:sz w:val="26"/>
          <w:szCs w:val="26"/>
        </w:rPr>
        <w:t xml:space="preserve"> </w:t>
      </w:r>
      <w:r w:rsidRPr="00031882">
        <w:rPr>
          <w:rFonts w:ascii="Times New Roman" w:hAnsi="Times New Roman"/>
          <w:b/>
          <w:sz w:val="26"/>
          <w:szCs w:val="26"/>
        </w:rPr>
        <w:t>соблюдени</w:t>
      </w:r>
      <w:r w:rsidR="00942607" w:rsidRPr="00031882">
        <w:rPr>
          <w:rFonts w:ascii="Times New Roman" w:hAnsi="Times New Roman"/>
          <w:b/>
          <w:sz w:val="26"/>
          <w:szCs w:val="26"/>
        </w:rPr>
        <w:t>ем</w:t>
      </w:r>
      <w:r w:rsidRPr="00031882">
        <w:rPr>
          <w:rFonts w:ascii="Times New Roman" w:hAnsi="Times New Roman"/>
          <w:b/>
          <w:sz w:val="26"/>
          <w:szCs w:val="26"/>
        </w:rPr>
        <w:t xml:space="preserve"> кадастровыми инженерами требований к геодезическому и картографическому обоснованию кадастровых работ.</w:t>
      </w:r>
      <w:r w:rsidRPr="00031882">
        <w:rPr>
          <w:rFonts w:ascii="Times New Roman" w:hAnsi="Times New Roman"/>
          <w:sz w:val="26"/>
          <w:szCs w:val="26"/>
        </w:rPr>
        <w:t xml:space="preserve"> При выявлении признаков внесения в межевой или технический план недостоверных сведений</w:t>
      </w:r>
      <w:r w:rsidR="00942607" w:rsidRPr="00031882">
        <w:rPr>
          <w:rFonts w:ascii="Times New Roman" w:hAnsi="Times New Roman"/>
          <w:sz w:val="26"/>
          <w:szCs w:val="26"/>
        </w:rPr>
        <w:t>,</w:t>
      </w:r>
      <w:r w:rsidRPr="00031882">
        <w:rPr>
          <w:rFonts w:ascii="Times New Roman" w:hAnsi="Times New Roman"/>
          <w:sz w:val="26"/>
          <w:szCs w:val="26"/>
        </w:rPr>
        <w:t xml:space="preserve"> </w:t>
      </w:r>
      <w:r w:rsidR="00942607" w:rsidRPr="00031882">
        <w:rPr>
          <w:rFonts w:ascii="Times New Roman" w:hAnsi="Times New Roman"/>
          <w:sz w:val="26"/>
          <w:szCs w:val="26"/>
        </w:rPr>
        <w:t xml:space="preserve">в том числе </w:t>
      </w:r>
      <w:r w:rsidRPr="00031882">
        <w:rPr>
          <w:rFonts w:ascii="Times New Roman" w:hAnsi="Times New Roman"/>
          <w:sz w:val="26"/>
          <w:szCs w:val="26"/>
        </w:rPr>
        <w:t>об использованной геодезической или картографической основ</w:t>
      </w:r>
      <w:r w:rsidR="00942607" w:rsidRPr="00031882">
        <w:rPr>
          <w:rFonts w:ascii="Times New Roman" w:hAnsi="Times New Roman"/>
          <w:sz w:val="26"/>
          <w:szCs w:val="26"/>
        </w:rPr>
        <w:t>е</w:t>
      </w:r>
      <w:r w:rsidRPr="00031882">
        <w:rPr>
          <w:rFonts w:ascii="Times New Roman" w:hAnsi="Times New Roman"/>
          <w:sz w:val="26"/>
          <w:szCs w:val="26"/>
        </w:rPr>
        <w:t>, материалы направляются прокуратуру для привлечения кадастровых инженеров к ответственности за внесение заведомо ложных сведений на основании ч. 4 ст.</w:t>
      </w:r>
      <w:r w:rsidR="00942607" w:rsidRPr="00031882">
        <w:rPr>
          <w:rFonts w:ascii="Times New Roman" w:hAnsi="Times New Roman"/>
          <w:sz w:val="26"/>
          <w:szCs w:val="26"/>
        </w:rPr>
        <w:t xml:space="preserve"> 14.35 КоАП</w:t>
      </w:r>
      <w:r w:rsidRPr="00031882">
        <w:rPr>
          <w:rFonts w:ascii="Times New Roman" w:hAnsi="Times New Roman"/>
          <w:sz w:val="26"/>
          <w:szCs w:val="26"/>
        </w:rPr>
        <w:t>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Росреестр уполномочен осуществлять федеральный государственный контроль (надзор) за соблюдением установленных законодательством правил </w:t>
      </w:r>
      <w:r w:rsidRPr="00031882">
        <w:rPr>
          <w:rFonts w:ascii="Times New Roman" w:hAnsi="Times New Roman"/>
          <w:b/>
          <w:sz w:val="26"/>
          <w:szCs w:val="26"/>
        </w:rPr>
        <w:t>употребления наименований географических объектов в документах, картографических изданиях, на дорожных и иных указателях.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882">
        <w:rPr>
          <w:rFonts w:ascii="Times New Roman" w:hAnsi="Times New Roman"/>
          <w:sz w:val="26"/>
          <w:szCs w:val="26"/>
        </w:rPr>
        <w:t xml:space="preserve">Как показывает практика, искажение географических наименований на картографических материалах встречаются очень редко, в отличии от искажений в наименованиях на дорожных указателях. Можно посчитать это незначительным нарушением, опечаткой, но это является </w:t>
      </w:r>
      <w:r w:rsidRPr="00031882">
        <w:rPr>
          <w:rFonts w:ascii="Times New Roman" w:hAnsi="Times New Roman"/>
          <w:b/>
          <w:sz w:val="26"/>
          <w:szCs w:val="26"/>
        </w:rPr>
        <w:t>нарушением установленных правил присвоения или употребления наименований географических объектов</w:t>
      </w:r>
      <w:r w:rsidRPr="00031882">
        <w:rPr>
          <w:rFonts w:ascii="Times New Roman" w:hAnsi="Times New Roman"/>
          <w:sz w:val="26"/>
          <w:szCs w:val="26"/>
        </w:rPr>
        <w:t xml:space="preserve"> (ст. 19.10 КоАП). За нарушение предусмотрена административная ответственность для должностных лиц в виде штрафа от 2 до 3 тыс. руб.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882">
        <w:rPr>
          <w:rFonts w:ascii="Times New Roman" w:hAnsi="Times New Roman"/>
          <w:color w:val="000000" w:themeColor="text1"/>
          <w:sz w:val="26"/>
          <w:szCs w:val="26"/>
        </w:rPr>
        <w:t xml:space="preserve">Исходя из вышеизложенного, </w:t>
      </w:r>
      <w:r w:rsidR="00473AA7">
        <w:rPr>
          <w:rFonts w:ascii="Times New Roman" w:hAnsi="Times New Roman"/>
          <w:color w:val="000000" w:themeColor="text1"/>
          <w:sz w:val="26"/>
          <w:szCs w:val="26"/>
        </w:rPr>
        <w:t xml:space="preserve">главный специалист-эксперт </w:t>
      </w:r>
      <w:bookmarkStart w:id="0" w:name="_GoBack"/>
      <w:bookmarkEnd w:id="0"/>
      <w:r w:rsidR="00031882" w:rsidRPr="00031882">
        <w:rPr>
          <w:rFonts w:ascii="Times New Roman" w:hAnsi="Times New Roman"/>
          <w:sz w:val="26"/>
          <w:szCs w:val="26"/>
        </w:rPr>
        <w:t>межмуниципального отдела по Пуровскому и Красноселькупскому районам Управления Росреестра по ЯНАО Игорь Музыка</w:t>
      </w:r>
      <w:r w:rsidRPr="00031882">
        <w:rPr>
          <w:rFonts w:ascii="Times New Roman" w:hAnsi="Times New Roman"/>
          <w:color w:val="000000" w:themeColor="text1"/>
          <w:sz w:val="26"/>
          <w:szCs w:val="26"/>
        </w:rPr>
        <w:t xml:space="preserve"> подчеркивает, что несмотря на строгие законодательные нормы, основной формой контроля Росреестра в части государственного земельного надзора, является проведение мероприятий по профилактике нарушений обязательных требований, таких как: информирование, объявление предостережений, консультирование, профилактический визит.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318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Так, за первое полугодие 2023 проведено </w:t>
      </w:r>
      <w:r w:rsidR="00031882" w:rsidRPr="00031882">
        <w:rPr>
          <w:rFonts w:ascii="Times New Roman" w:hAnsi="Times New Roman"/>
          <w:i/>
          <w:color w:val="000000" w:themeColor="text1"/>
          <w:sz w:val="26"/>
          <w:szCs w:val="26"/>
        </w:rPr>
        <w:t>102</w:t>
      </w:r>
      <w:r w:rsidRPr="000318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профилактических визита, проконсультировано </w:t>
      </w:r>
      <w:r w:rsidR="00031882" w:rsidRPr="00031882">
        <w:rPr>
          <w:rFonts w:ascii="Times New Roman" w:hAnsi="Times New Roman"/>
          <w:i/>
          <w:color w:val="000000" w:themeColor="text1"/>
          <w:sz w:val="26"/>
          <w:szCs w:val="26"/>
        </w:rPr>
        <w:t>о недопустимости нарушения обязательных требований 102</w:t>
      </w:r>
      <w:r w:rsidRPr="000318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граждан</w:t>
      </w:r>
      <w:r w:rsidR="00031882" w:rsidRPr="00031882">
        <w:rPr>
          <w:rFonts w:ascii="Times New Roman" w:hAnsi="Times New Roman"/>
          <w:i/>
          <w:color w:val="000000" w:themeColor="text1"/>
          <w:sz w:val="26"/>
          <w:szCs w:val="26"/>
        </w:rPr>
        <w:t>ина</w:t>
      </w:r>
      <w:r w:rsidRPr="00031882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9777B4" w:rsidRPr="00031882" w:rsidRDefault="009777B4" w:rsidP="009777B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882">
        <w:rPr>
          <w:rFonts w:ascii="Times New Roman" w:hAnsi="Times New Roman"/>
          <w:color w:val="000000" w:themeColor="text1"/>
          <w:sz w:val="26"/>
          <w:szCs w:val="26"/>
        </w:rPr>
        <w:t xml:space="preserve">Такие мероприятия направлены на повышение информированности контролируемых лиц о способах соблюдения обязательных требований земельного законодательства. </w:t>
      </w:r>
    </w:p>
    <w:sectPr w:rsidR="009777B4" w:rsidRPr="00031882" w:rsidSect="000318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E8" w:rsidRDefault="00B07CE8">
      <w:pPr>
        <w:spacing w:after="0" w:line="240" w:lineRule="auto"/>
      </w:pPr>
      <w:r>
        <w:separator/>
      </w:r>
    </w:p>
  </w:endnote>
  <w:endnote w:type="continuationSeparator" w:id="0">
    <w:p w:rsidR="00B07CE8" w:rsidRDefault="00B0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E8" w:rsidRDefault="00B07CE8">
      <w:pPr>
        <w:spacing w:after="0" w:line="240" w:lineRule="auto"/>
      </w:pPr>
      <w:r>
        <w:separator/>
      </w:r>
    </w:p>
  </w:footnote>
  <w:footnote w:type="continuationSeparator" w:id="0">
    <w:p w:rsidR="00B07CE8" w:rsidRDefault="00B0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223B"/>
    <w:multiLevelType w:val="hybridMultilevel"/>
    <w:tmpl w:val="F66AC692"/>
    <w:lvl w:ilvl="0" w:tplc="4336C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31CACF2">
      <w:start w:val="1"/>
      <w:numFmt w:val="lowerLetter"/>
      <w:lvlText w:val="%2."/>
      <w:lvlJc w:val="left"/>
      <w:pPr>
        <w:ind w:left="1647" w:hanging="360"/>
      </w:pPr>
    </w:lvl>
    <w:lvl w:ilvl="2" w:tplc="71A8B7CC">
      <w:start w:val="1"/>
      <w:numFmt w:val="lowerRoman"/>
      <w:lvlText w:val="%3."/>
      <w:lvlJc w:val="right"/>
      <w:pPr>
        <w:ind w:left="2367" w:hanging="180"/>
      </w:pPr>
    </w:lvl>
    <w:lvl w:ilvl="3" w:tplc="9B56D79A">
      <w:start w:val="1"/>
      <w:numFmt w:val="decimal"/>
      <w:lvlText w:val="%4."/>
      <w:lvlJc w:val="left"/>
      <w:pPr>
        <w:ind w:left="3087" w:hanging="360"/>
      </w:pPr>
    </w:lvl>
    <w:lvl w:ilvl="4" w:tplc="CF20A422">
      <w:start w:val="1"/>
      <w:numFmt w:val="lowerLetter"/>
      <w:lvlText w:val="%5."/>
      <w:lvlJc w:val="left"/>
      <w:pPr>
        <w:ind w:left="3807" w:hanging="360"/>
      </w:pPr>
    </w:lvl>
    <w:lvl w:ilvl="5" w:tplc="1F42743A">
      <w:start w:val="1"/>
      <w:numFmt w:val="lowerRoman"/>
      <w:lvlText w:val="%6."/>
      <w:lvlJc w:val="right"/>
      <w:pPr>
        <w:ind w:left="4527" w:hanging="180"/>
      </w:pPr>
    </w:lvl>
    <w:lvl w:ilvl="6" w:tplc="5B6002D8">
      <w:start w:val="1"/>
      <w:numFmt w:val="decimal"/>
      <w:lvlText w:val="%7."/>
      <w:lvlJc w:val="left"/>
      <w:pPr>
        <w:ind w:left="5247" w:hanging="360"/>
      </w:pPr>
    </w:lvl>
    <w:lvl w:ilvl="7" w:tplc="7E9461F8">
      <w:start w:val="1"/>
      <w:numFmt w:val="lowerLetter"/>
      <w:lvlText w:val="%8."/>
      <w:lvlJc w:val="left"/>
      <w:pPr>
        <w:ind w:left="5967" w:hanging="360"/>
      </w:pPr>
    </w:lvl>
    <w:lvl w:ilvl="8" w:tplc="E8B88AA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0F427D"/>
    <w:multiLevelType w:val="hybridMultilevel"/>
    <w:tmpl w:val="0268AE38"/>
    <w:lvl w:ilvl="0" w:tplc="25AA6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A6BA9A6A">
      <w:start w:val="1"/>
      <w:numFmt w:val="lowerLetter"/>
      <w:lvlText w:val="%2."/>
      <w:lvlJc w:val="left"/>
      <w:pPr>
        <w:ind w:left="1440" w:hanging="360"/>
      </w:pPr>
    </w:lvl>
    <w:lvl w:ilvl="2" w:tplc="6DE209AE">
      <w:start w:val="1"/>
      <w:numFmt w:val="lowerRoman"/>
      <w:lvlText w:val="%3."/>
      <w:lvlJc w:val="right"/>
      <w:pPr>
        <w:ind w:left="2160" w:hanging="180"/>
      </w:pPr>
    </w:lvl>
    <w:lvl w:ilvl="3" w:tplc="A61870EC">
      <w:start w:val="1"/>
      <w:numFmt w:val="decimal"/>
      <w:lvlText w:val="%4."/>
      <w:lvlJc w:val="left"/>
      <w:pPr>
        <w:ind w:left="2880" w:hanging="360"/>
      </w:pPr>
    </w:lvl>
    <w:lvl w:ilvl="4" w:tplc="6D5A8298">
      <w:start w:val="1"/>
      <w:numFmt w:val="lowerLetter"/>
      <w:lvlText w:val="%5."/>
      <w:lvlJc w:val="left"/>
      <w:pPr>
        <w:ind w:left="3600" w:hanging="360"/>
      </w:pPr>
    </w:lvl>
    <w:lvl w:ilvl="5" w:tplc="7F821FB8">
      <w:start w:val="1"/>
      <w:numFmt w:val="lowerRoman"/>
      <w:lvlText w:val="%6."/>
      <w:lvlJc w:val="right"/>
      <w:pPr>
        <w:ind w:left="4320" w:hanging="180"/>
      </w:pPr>
    </w:lvl>
    <w:lvl w:ilvl="6" w:tplc="565ED3CE">
      <w:start w:val="1"/>
      <w:numFmt w:val="decimal"/>
      <w:lvlText w:val="%7."/>
      <w:lvlJc w:val="left"/>
      <w:pPr>
        <w:ind w:left="5040" w:hanging="360"/>
      </w:pPr>
    </w:lvl>
    <w:lvl w:ilvl="7" w:tplc="12607354">
      <w:start w:val="1"/>
      <w:numFmt w:val="lowerLetter"/>
      <w:lvlText w:val="%8."/>
      <w:lvlJc w:val="left"/>
      <w:pPr>
        <w:ind w:left="5760" w:hanging="360"/>
      </w:pPr>
    </w:lvl>
    <w:lvl w:ilvl="8" w:tplc="EB4E9D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44BF"/>
    <w:multiLevelType w:val="hybridMultilevel"/>
    <w:tmpl w:val="F03E1B58"/>
    <w:lvl w:ilvl="0" w:tplc="B4AEF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3997"/>
    <w:multiLevelType w:val="hybridMultilevel"/>
    <w:tmpl w:val="170EB24A"/>
    <w:lvl w:ilvl="0" w:tplc="6BC8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05A06">
      <w:start w:val="1"/>
      <w:numFmt w:val="lowerLetter"/>
      <w:lvlText w:val="%2."/>
      <w:lvlJc w:val="left"/>
      <w:pPr>
        <w:ind w:left="1440" w:hanging="360"/>
      </w:pPr>
    </w:lvl>
    <w:lvl w:ilvl="2" w:tplc="2F32EA00">
      <w:start w:val="1"/>
      <w:numFmt w:val="lowerRoman"/>
      <w:lvlText w:val="%3."/>
      <w:lvlJc w:val="right"/>
      <w:pPr>
        <w:ind w:left="2160" w:hanging="180"/>
      </w:pPr>
    </w:lvl>
    <w:lvl w:ilvl="3" w:tplc="C6C04A06">
      <w:start w:val="1"/>
      <w:numFmt w:val="decimal"/>
      <w:lvlText w:val="%4."/>
      <w:lvlJc w:val="left"/>
      <w:pPr>
        <w:ind w:left="2880" w:hanging="360"/>
      </w:pPr>
    </w:lvl>
    <w:lvl w:ilvl="4" w:tplc="5E44C298">
      <w:start w:val="1"/>
      <w:numFmt w:val="lowerLetter"/>
      <w:lvlText w:val="%5."/>
      <w:lvlJc w:val="left"/>
      <w:pPr>
        <w:ind w:left="3600" w:hanging="360"/>
      </w:pPr>
    </w:lvl>
    <w:lvl w:ilvl="5" w:tplc="F9AE1A92">
      <w:start w:val="1"/>
      <w:numFmt w:val="lowerRoman"/>
      <w:lvlText w:val="%6."/>
      <w:lvlJc w:val="right"/>
      <w:pPr>
        <w:ind w:left="4320" w:hanging="180"/>
      </w:pPr>
    </w:lvl>
    <w:lvl w:ilvl="6" w:tplc="98D6B7F2">
      <w:start w:val="1"/>
      <w:numFmt w:val="decimal"/>
      <w:lvlText w:val="%7."/>
      <w:lvlJc w:val="left"/>
      <w:pPr>
        <w:ind w:left="5040" w:hanging="360"/>
      </w:pPr>
    </w:lvl>
    <w:lvl w:ilvl="7" w:tplc="479242AC">
      <w:start w:val="1"/>
      <w:numFmt w:val="lowerLetter"/>
      <w:lvlText w:val="%8."/>
      <w:lvlJc w:val="left"/>
      <w:pPr>
        <w:ind w:left="5760" w:hanging="360"/>
      </w:pPr>
    </w:lvl>
    <w:lvl w:ilvl="8" w:tplc="37B447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1E0D"/>
    <w:multiLevelType w:val="hybridMultilevel"/>
    <w:tmpl w:val="2D02FA78"/>
    <w:lvl w:ilvl="0" w:tplc="7E60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88682">
      <w:start w:val="1"/>
      <w:numFmt w:val="lowerLetter"/>
      <w:lvlText w:val="%2."/>
      <w:lvlJc w:val="left"/>
      <w:pPr>
        <w:ind w:left="1440" w:hanging="360"/>
      </w:pPr>
    </w:lvl>
    <w:lvl w:ilvl="2" w:tplc="A0C41BD2">
      <w:start w:val="1"/>
      <w:numFmt w:val="lowerRoman"/>
      <w:lvlText w:val="%3."/>
      <w:lvlJc w:val="right"/>
      <w:pPr>
        <w:ind w:left="2160" w:hanging="180"/>
      </w:pPr>
    </w:lvl>
    <w:lvl w:ilvl="3" w:tplc="A35A5CBC">
      <w:start w:val="1"/>
      <w:numFmt w:val="decimal"/>
      <w:lvlText w:val="%4."/>
      <w:lvlJc w:val="left"/>
      <w:pPr>
        <w:ind w:left="2880" w:hanging="360"/>
      </w:pPr>
    </w:lvl>
    <w:lvl w:ilvl="4" w:tplc="3170F558">
      <w:start w:val="1"/>
      <w:numFmt w:val="lowerLetter"/>
      <w:lvlText w:val="%5."/>
      <w:lvlJc w:val="left"/>
      <w:pPr>
        <w:ind w:left="3600" w:hanging="360"/>
      </w:pPr>
    </w:lvl>
    <w:lvl w:ilvl="5" w:tplc="F5C8A938">
      <w:start w:val="1"/>
      <w:numFmt w:val="lowerRoman"/>
      <w:lvlText w:val="%6."/>
      <w:lvlJc w:val="right"/>
      <w:pPr>
        <w:ind w:left="4320" w:hanging="180"/>
      </w:pPr>
    </w:lvl>
    <w:lvl w:ilvl="6" w:tplc="7272DA1A">
      <w:start w:val="1"/>
      <w:numFmt w:val="decimal"/>
      <w:lvlText w:val="%7."/>
      <w:lvlJc w:val="left"/>
      <w:pPr>
        <w:ind w:left="5040" w:hanging="360"/>
      </w:pPr>
    </w:lvl>
    <w:lvl w:ilvl="7" w:tplc="A4E6AFDE">
      <w:start w:val="1"/>
      <w:numFmt w:val="lowerLetter"/>
      <w:lvlText w:val="%8."/>
      <w:lvlJc w:val="left"/>
      <w:pPr>
        <w:ind w:left="5760" w:hanging="360"/>
      </w:pPr>
    </w:lvl>
    <w:lvl w:ilvl="8" w:tplc="832460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94"/>
    <w:rsid w:val="00031882"/>
    <w:rsid w:val="00063DFF"/>
    <w:rsid w:val="000C416E"/>
    <w:rsid w:val="00137094"/>
    <w:rsid w:val="0014624C"/>
    <w:rsid w:val="001808CB"/>
    <w:rsid w:val="001A4A39"/>
    <w:rsid w:val="00205F8F"/>
    <w:rsid w:val="002E303E"/>
    <w:rsid w:val="00303D87"/>
    <w:rsid w:val="0030709C"/>
    <w:rsid w:val="003070EE"/>
    <w:rsid w:val="003331A8"/>
    <w:rsid w:val="00334D5B"/>
    <w:rsid w:val="003656CD"/>
    <w:rsid w:val="003A2EF1"/>
    <w:rsid w:val="003A62A6"/>
    <w:rsid w:val="00401DCC"/>
    <w:rsid w:val="0042645D"/>
    <w:rsid w:val="00435351"/>
    <w:rsid w:val="00435613"/>
    <w:rsid w:val="004676B2"/>
    <w:rsid w:val="00473AA7"/>
    <w:rsid w:val="004918AF"/>
    <w:rsid w:val="004E62DA"/>
    <w:rsid w:val="0052589D"/>
    <w:rsid w:val="00561E2D"/>
    <w:rsid w:val="005768F4"/>
    <w:rsid w:val="006038D7"/>
    <w:rsid w:val="00607F69"/>
    <w:rsid w:val="00653745"/>
    <w:rsid w:val="00681A10"/>
    <w:rsid w:val="006C1933"/>
    <w:rsid w:val="006C2D6C"/>
    <w:rsid w:val="007226D4"/>
    <w:rsid w:val="00780387"/>
    <w:rsid w:val="007834A3"/>
    <w:rsid w:val="007958DD"/>
    <w:rsid w:val="0088527D"/>
    <w:rsid w:val="00935FC4"/>
    <w:rsid w:val="00942607"/>
    <w:rsid w:val="009777B4"/>
    <w:rsid w:val="00980B6B"/>
    <w:rsid w:val="009A5649"/>
    <w:rsid w:val="00AC3EDE"/>
    <w:rsid w:val="00AE2CA0"/>
    <w:rsid w:val="00B07CE8"/>
    <w:rsid w:val="00C2624C"/>
    <w:rsid w:val="00DC50A2"/>
    <w:rsid w:val="00DD268E"/>
    <w:rsid w:val="00DD50AB"/>
    <w:rsid w:val="00DE1C78"/>
    <w:rsid w:val="00DF5CF2"/>
    <w:rsid w:val="00E915CB"/>
    <w:rsid w:val="00EF0D21"/>
    <w:rsid w:val="00F25DD5"/>
    <w:rsid w:val="00FC168D"/>
    <w:rsid w:val="00FD0677"/>
    <w:rsid w:val="00FD7C6E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42DD"/>
  <w15:docId w15:val="{D5CD9EE6-017E-4B4F-B7FC-38833EA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9C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color w:val="auto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color w:val="auto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color w:val="auto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color w:val="auto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color w:val="auto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color w:val="auto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color w:val="auto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color w:val="auto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 w:line="259" w:lineRule="auto"/>
      <w:contextualSpacing/>
    </w:pPr>
    <w:rPr>
      <w:rFonts w:eastAsiaTheme="minorHAnsi" w:cstheme="minorBidi"/>
      <w:color w:val="auto"/>
      <w:sz w:val="48"/>
      <w:szCs w:val="48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 w:line="259" w:lineRule="auto"/>
    </w:pPr>
    <w:rPr>
      <w:rFonts w:eastAsiaTheme="minorHAnsi" w:cstheme="minorBidi"/>
      <w:color w:val="auto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line="259" w:lineRule="auto"/>
      <w:ind w:left="720" w:right="720"/>
    </w:pPr>
    <w:rPr>
      <w:rFonts w:eastAsiaTheme="minorHAnsi" w:cstheme="minorBidi"/>
      <w:i/>
      <w:color w:val="auto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rFonts w:eastAsiaTheme="minorHAnsi" w:cstheme="minorBidi"/>
      <w:i/>
      <w:color w:val="auto"/>
      <w:szCs w:val="22"/>
      <w:lang w:eastAsia="en-US"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rFonts w:eastAsiaTheme="minorHAnsi" w:cstheme="minorBidi"/>
      <w:color w:val="auto"/>
      <w:sz w:val="18"/>
      <w:szCs w:val="22"/>
      <w:lang w:eastAsia="en-US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rFonts w:eastAsiaTheme="minorHAnsi" w:cstheme="minorBidi"/>
      <w:color w:val="auto"/>
      <w:sz w:val="20"/>
      <w:szCs w:val="22"/>
      <w:lang w:eastAsia="en-US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eastAsiaTheme="minorHAnsi" w:cstheme="minorBidi"/>
      <w:color w:val="auto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</w:pPr>
    <w:rPr>
      <w:rFonts w:eastAsiaTheme="minorHAnsi" w:cstheme="minorBidi"/>
      <w:color w:val="auto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</w:pPr>
    <w:rPr>
      <w:rFonts w:eastAsiaTheme="minorHAnsi" w:cstheme="minorBidi"/>
      <w:color w:val="auto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</w:pPr>
    <w:rPr>
      <w:rFonts w:eastAsiaTheme="minorHAnsi" w:cstheme="minorBidi"/>
      <w:color w:val="auto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</w:pPr>
    <w:rPr>
      <w:rFonts w:eastAsiaTheme="minorHAnsi" w:cstheme="minorBidi"/>
      <w:color w:val="auto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</w:pPr>
    <w:rPr>
      <w:rFonts w:eastAsiaTheme="minorHAnsi" w:cstheme="minorBidi"/>
      <w:color w:val="auto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</w:pPr>
    <w:rPr>
      <w:rFonts w:eastAsiaTheme="minorHAnsi" w:cstheme="minorBidi"/>
      <w:color w:val="auto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</w:pPr>
    <w:rPr>
      <w:rFonts w:eastAsiaTheme="minorHAnsi" w:cstheme="minorBidi"/>
      <w:color w:val="auto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</w:pPr>
    <w:rPr>
      <w:rFonts w:eastAsiaTheme="minorHAnsi" w:cstheme="minorBidi"/>
      <w:color w:val="auto"/>
      <w:szCs w:val="22"/>
      <w:lang w:eastAsia="en-US"/>
    </w:r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 w:line="259" w:lineRule="auto"/>
    </w:pPr>
    <w:rPr>
      <w:rFonts w:eastAsiaTheme="minorHAnsi" w:cstheme="minorBidi"/>
      <w:color w:val="auto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Закирова Ольга Юрьевна</cp:lastModifiedBy>
  <cp:revision>52</cp:revision>
  <cp:lastPrinted>2023-07-21T05:13:00Z</cp:lastPrinted>
  <dcterms:created xsi:type="dcterms:W3CDTF">2022-05-27T10:42:00Z</dcterms:created>
  <dcterms:modified xsi:type="dcterms:W3CDTF">2023-07-21T05:17:00Z</dcterms:modified>
</cp:coreProperties>
</file>